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C14D5A" w:rsidP="00C105A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C105A9">
              <w:t>18.12.2018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C14D5A" w:rsidP="0026700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26700B">
              <w:t>53/1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C14D5A" w:rsidP="00C105A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B55DB7" w:rsidRPr="00B55DB7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 на 201</w:t>
            </w:r>
            <w:r w:rsidR="00C105A9">
              <w:rPr>
                <w:noProof/>
              </w:rPr>
              <w:t>9</w:t>
            </w:r>
            <w:r w:rsidR="00B55DB7" w:rsidRPr="00B55DB7">
              <w:rPr>
                <w:noProof/>
              </w:rPr>
              <w:t xml:space="preserve"> год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746B7D" w:rsidRDefault="00746B7D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105A9" w:rsidRDefault="00C105A9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26700B" w:rsidRPr="00C105A9" w:rsidRDefault="0026700B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B55DB7" w:rsidRP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szCs w:val="28"/>
        </w:rPr>
        <w:t xml:space="preserve">В соответствии с Федеральным </w:t>
      </w:r>
      <w:hyperlink r:id="rId11" w:history="1">
        <w:r w:rsidRPr="00B55DB7">
          <w:rPr>
            <w:szCs w:val="28"/>
          </w:rPr>
          <w:t>законом</w:t>
        </w:r>
      </w:hyperlink>
      <w:r w:rsidR="00C105A9">
        <w:rPr>
          <w:szCs w:val="28"/>
        </w:rPr>
        <w:t xml:space="preserve"> от 26 марта 2003 г.</w:t>
      </w:r>
      <w:r w:rsidRPr="00B55DB7">
        <w:rPr>
          <w:szCs w:val="28"/>
        </w:rPr>
        <w:t xml:space="preserve"> № 35-ФЗ «Об электроэнергетике», </w:t>
      </w:r>
      <w:hyperlink r:id="rId12" w:history="1">
        <w:r w:rsidRPr="00B55DB7">
          <w:rPr>
            <w:szCs w:val="28"/>
          </w:rPr>
          <w:t>постановлением</w:t>
        </w:r>
      </w:hyperlink>
      <w:r w:rsidRPr="00B55DB7">
        <w:rPr>
          <w:szCs w:val="28"/>
        </w:rPr>
        <w:t xml:space="preserve"> Правительства Российской Федерации от 29 декабря 2011 г</w:t>
      </w:r>
      <w:r w:rsidR="00C105A9">
        <w:rPr>
          <w:szCs w:val="28"/>
        </w:rPr>
        <w:t>.</w:t>
      </w:r>
      <w:r w:rsidRPr="00B55DB7">
        <w:rPr>
          <w:szCs w:val="28"/>
        </w:rPr>
        <w:t xml:space="preserve"> № 1178 «О ценообразовании в области регулируемых цен (тарифов) в электроэнергетике», приказом ФСТ России от 16 сентября 2014 г</w:t>
      </w:r>
      <w:r w:rsidR="00C105A9">
        <w:rPr>
          <w:szCs w:val="28"/>
        </w:rPr>
        <w:t>.</w:t>
      </w:r>
      <w:r w:rsidRPr="00B55DB7">
        <w:rPr>
          <w:szCs w:val="28"/>
        </w:rPr>
        <w:t xml:space="preserve"> № 1442-э «Об 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приказом ФСТ России от 28 марта 2013 г</w:t>
      </w:r>
      <w:r w:rsidR="00C105A9">
        <w:rPr>
          <w:szCs w:val="28"/>
        </w:rPr>
        <w:t>.</w:t>
      </w:r>
      <w:r w:rsidRPr="00B55DB7">
        <w:rPr>
          <w:szCs w:val="28"/>
        </w:rPr>
        <w:t xml:space="preserve">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тарифов»:</w:t>
      </w:r>
    </w:p>
    <w:p w:rsid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2" w:name="Par25"/>
      <w:bookmarkEnd w:id="2"/>
      <w:r w:rsidRPr="00B55DB7">
        <w:rPr>
          <w:b/>
          <w:szCs w:val="28"/>
        </w:rPr>
        <w:t>1.</w:t>
      </w:r>
      <w:r w:rsidRPr="00B55DB7">
        <w:rPr>
          <w:szCs w:val="28"/>
        </w:rPr>
        <w:t xml:space="preserve"> Установить и ввести в действ</w:t>
      </w:r>
      <w:r w:rsidR="00C105A9">
        <w:rPr>
          <w:szCs w:val="28"/>
        </w:rPr>
        <w:t>ие с 1 января по 31 декабря 2019</w:t>
      </w:r>
      <w:r w:rsidRPr="00B55DB7">
        <w:rPr>
          <w:szCs w:val="28"/>
        </w:rPr>
        <w:t xml:space="preserve"> г</w:t>
      </w:r>
      <w:r w:rsidR="00C105A9">
        <w:rPr>
          <w:szCs w:val="28"/>
        </w:rPr>
        <w:t xml:space="preserve">. </w:t>
      </w:r>
      <w:r w:rsidRPr="00B55DB7">
        <w:rPr>
          <w:szCs w:val="28"/>
        </w:rPr>
        <w:t>включительно цены (тарифы) на электрическую энергию для населения и приравненных к нему категорий потребителей Нижегородской области</w:t>
      </w:r>
      <w:r w:rsidR="00F02ABF">
        <w:rPr>
          <w:szCs w:val="28"/>
        </w:rPr>
        <w:t xml:space="preserve"> согласно Приложению 1.</w:t>
      </w:r>
    </w:p>
    <w:p w:rsidR="00F02ABF" w:rsidRDefault="00B55DB7" w:rsidP="00F02AB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  <w:szCs w:val="28"/>
        </w:rPr>
        <w:t>2.</w:t>
      </w:r>
      <w:r w:rsidRPr="00B55DB7">
        <w:rPr>
          <w:szCs w:val="28"/>
        </w:rPr>
        <w:t xml:space="preserve"> При расчете цен (тарифов) на электрическую энергию для населения и приравненных к нему категорий потребител</w:t>
      </w:r>
      <w:r w:rsidR="00C105A9">
        <w:rPr>
          <w:szCs w:val="28"/>
        </w:rPr>
        <w:t>ей Нижегородской области на 2019</w:t>
      </w:r>
      <w:r w:rsidRPr="00B55DB7">
        <w:rPr>
          <w:szCs w:val="28"/>
        </w:rPr>
        <w:t xml:space="preserve"> год использованы объемы потребления электрической энергии (мощности) </w:t>
      </w:r>
      <w:r w:rsidR="00F02ABF">
        <w:rPr>
          <w:szCs w:val="28"/>
        </w:rPr>
        <w:t>согласно Приложению 2.</w:t>
      </w:r>
    </w:p>
    <w:p w:rsidR="00C9510D" w:rsidRDefault="00B55DB7" w:rsidP="00C9510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</w:rPr>
        <w:t>3.</w:t>
      </w:r>
      <w:r w:rsidRPr="00B55DB7">
        <w:t xml:space="preserve"> Установить понижающие коэффициенты, применяемые к тарифам на электрическую энергию для населения, проживающего в городских населенных </w:t>
      </w:r>
      <w:r w:rsidRPr="00B55DB7">
        <w:lastRenderedPageBreak/>
        <w:t>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</w:t>
      </w:r>
      <w:r w:rsidR="00C105A9">
        <w:t>ю категорий потребителей на 2019</w:t>
      </w:r>
      <w:r w:rsidRPr="00B55DB7">
        <w:t xml:space="preserve"> год </w:t>
      </w:r>
      <w:r w:rsidR="00C9510D">
        <w:rPr>
          <w:szCs w:val="28"/>
        </w:rPr>
        <w:t>согласно Приложению 3.</w:t>
      </w:r>
    </w:p>
    <w:p w:rsidR="00B55DB7" w:rsidRPr="00B55DB7" w:rsidRDefault="00B55DB7" w:rsidP="00B55D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3" w:name="Par26"/>
      <w:bookmarkEnd w:id="3"/>
      <w:r w:rsidRPr="00B55DB7">
        <w:rPr>
          <w:b/>
          <w:szCs w:val="28"/>
        </w:rPr>
        <w:t>4.</w:t>
      </w:r>
      <w:r w:rsidRPr="00B55DB7">
        <w:rPr>
          <w:szCs w:val="28"/>
        </w:rPr>
        <w:t xml:space="preserve"> Настоящее решение</w:t>
      </w:r>
      <w:r w:rsidR="00C105A9">
        <w:rPr>
          <w:szCs w:val="28"/>
        </w:rPr>
        <w:t xml:space="preserve"> вступает в силу с 1 января 2019</w:t>
      </w:r>
      <w:r w:rsidRPr="00B55DB7">
        <w:rPr>
          <w:szCs w:val="28"/>
        </w:rPr>
        <w:t xml:space="preserve"> г.</w:t>
      </w:r>
    </w:p>
    <w:p w:rsidR="00862EB1" w:rsidRDefault="00862EB1" w:rsidP="00471831">
      <w:pPr>
        <w:tabs>
          <w:tab w:val="left" w:pos="1897"/>
        </w:tabs>
        <w:spacing w:line="276" w:lineRule="auto"/>
        <w:rPr>
          <w:szCs w:val="28"/>
        </w:rPr>
      </w:pPr>
    </w:p>
    <w:p w:rsidR="00746B7D" w:rsidRDefault="00746B7D" w:rsidP="00471831">
      <w:pPr>
        <w:tabs>
          <w:tab w:val="left" w:pos="1897"/>
        </w:tabs>
        <w:spacing w:line="276" w:lineRule="auto"/>
        <w:rPr>
          <w:szCs w:val="28"/>
        </w:rPr>
      </w:pPr>
    </w:p>
    <w:p w:rsidR="00DA36F6" w:rsidRDefault="00DA36F6" w:rsidP="00471831">
      <w:pPr>
        <w:tabs>
          <w:tab w:val="left" w:pos="1897"/>
        </w:tabs>
        <w:spacing w:line="276" w:lineRule="auto"/>
        <w:rPr>
          <w:szCs w:val="28"/>
        </w:rPr>
      </w:pPr>
    </w:p>
    <w:p w:rsidR="00C9510D" w:rsidRDefault="00C105A9" w:rsidP="0047183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621BD2">
        <w:rPr>
          <w:szCs w:val="28"/>
        </w:rPr>
        <w:t>у</w:t>
      </w:r>
      <w:r w:rsidR="00471831">
        <w:rPr>
          <w:szCs w:val="28"/>
        </w:rPr>
        <w:t>ководител</w:t>
      </w:r>
      <w:r>
        <w:rPr>
          <w:szCs w:val="28"/>
        </w:rPr>
        <w:t>ь</w:t>
      </w:r>
      <w:r w:rsidR="00471831">
        <w:rPr>
          <w:szCs w:val="28"/>
        </w:rPr>
        <w:t xml:space="preserve"> службы</w:t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BE06B0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="00BE06B0">
        <w:rPr>
          <w:szCs w:val="28"/>
        </w:rPr>
        <w:t>А.Г.Малухин</w:t>
      </w: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471831" w:rsidRDefault="00C9510D" w:rsidP="00C9510D">
      <w:pPr>
        <w:tabs>
          <w:tab w:val="left" w:pos="5374"/>
        </w:tabs>
        <w:rPr>
          <w:szCs w:val="28"/>
        </w:rPr>
      </w:pPr>
      <w:r>
        <w:rPr>
          <w:szCs w:val="28"/>
        </w:rPr>
        <w:tab/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lastRenderedPageBreak/>
        <w:t>ПРИЛОЖЕНИЕ 1</w:t>
      </w:r>
    </w:p>
    <w:p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:rsidR="00C9510D" w:rsidRPr="00C105A9" w:rsidRDefault="00C9510D" w:rsidP="00C105A9">
      <w:pPr>
        <w:tabs>
          <w:tab w:val="left" w:pos="1897"/>
        </w:tabs>
        <w:ind w:left="4678"/>
        <w:jc w:val="center"/>
      </w:pPr>
      <w:r>
        <w:t xml:space="preserve">от </w:t>
      </w:r>
      <w:r w:rsidR="00C105A9">
        <w:t>18 декабря 2018</w:t>
      </w:r>
      <w:r>
        <w:t xml:space="preserve"> г</w:t>
      </w:r>
      <w:r w:rsidR="00C105A9">
        <w:t>.</w:t>
      </w:r>
      <w:r>
        <w:t xml:space="preserve"> № </w:t>
      </w:r>
      <w:r w:rsidR="0026700B">
        <w:t>53/1</w:t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  <w:r w:rsidRPr="00345BAD">
        <w:rPr>
          <w:b/>
          <w:szCs w:val="28"/>
        </w:rPr>
        <w:t xml:space="preserve">Цены (тарифы) на электрическую энергию для населения и приравненных к нему категорий потребителей Нижегородской области </w:t>
      </w:r>
      <w:r>
        <w:rPr>
          <w:b/>
          <w:szCs w:val="28"/>
        </w:rPr>
        <w:br/>
      </w:r>
      <w:r w:rsidRPr="00345BAD">
        <w:rPr>
          <w:b/>
          <w:szCs w:val="28"/>
        </w:rPr>
        <w:t>(с 1 января по 31 декабря 201</w:t>
      </w:r>
      <w:r w:rsidR="00C105A9">
        <w:rPr>
          <w:b/>
          <w:szCs w:val="28"/>
        </w:rPr>
        <w:t>9 г.</w:t>
      </w:r>
      <w:r w:rsidRPr="00345BAD">
        <w:rPr>
          <w:b/>
          <w:szCs w:val="28"/>
        </w:rPr>
        <w:t xml:space="preserve"> включительно)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418"/>
        <w:gridCol w:w="55"/>
        <w:gridCol w:w="1049"/>
        <w:gridCol w:w="1294"/>
        <w:gridCol w:w="1265"/>
        <w:gridCol w:w="1265"/>
        <w:gridCol w:w="320"/>
        <w:gridCol w:w="1712"/>
      </w:tblGrid>
      <w:tr w:rsidR="001A1B90" w:rsidRPr="005170B6" w:rsidTr="0049209D">
        <w:tc>
          <w:tcPr>
            <w:tcW w:w="9995" w:type="dxa"/>
            <w:gridSpan w:val="9"/>
          </w:tcPr>
          <w:p w:rsidR="001A1B90" w:rsidRPr="005170B6" w:rsidRDefault="001A1B90" w:rsidP="0049209D">
            <w:pPr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Наименование субъекта Российской Федерации: Нижегородская область</w:t>
            </w:r>
          </w:p>
        </w:tc>
      </w:tr>
      <w:tr w:rsidR="001A1B90" w:rsidRPr="005170B6" w:rsidTr="0049209D">
        <w:tc>
          <w:tcPr>
            <w:tcW w:w="617" w:type="dxa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№ п/п</w:t>
            </w:r>
          </w:p>
        </w:tc>
        <w:tc>
          <w:tcPr>
            <w:tcW w:w="2418" w:type="dxa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104" w:type="dxa"/>
            <w:gridSpan w:val="2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Единицы измерения</w:t>
            </w:r>
          </w:p>
        </w:tc>
        <w:tc>
          <w:tcPr>
            <w:tcW w:w="2559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3297" w:type="dxa"/>
            <w:gridSpan w:val="3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Сверх социальной нормы потребления</w:t>
            </w:r>
          </w:p>
        </w:tc>
      </w:tr>
      <w:tr w:rsidR="001A1B90" w:rsidRPr="005170B6" w:rsidTr="0049209D">
        <w:tc>
          <w:tcPr>
            <w:tcW w:w="617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20"/>
              </w:rPr>
            </w:pPr>
          </w:p>
        </w:tc>
        <w:tc>
          <w:tcPr>
            <w:tcW w:w="2418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94" w:type="dxa"/>
          </w:tcPr>
          <w:p w:rsidR="001A1B90" w:rsidRPr="005170B6" w:rsidRDefault="001A1B90" w:rsidP="00C105A9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01.01.201</w:t>
            </w:r>
            <w:r w:rsidR="00C105A9">
              <w:rPr>
                <w:noProof/>
                <w:sz w:val="16"/>
                <w:szCs w:val="16"/>
              </w:rPr>
              <w:t>9</w:t>
            </w:r>
            <w:r w:rsidRPr="005170B6">
              <w:rPr>
                <w:noProof/>
                <w:sz w:val="16"/>
                <w:szCs w:val="16"/>
              </w:rPr>
              <w:t xml:space="preserve"> по 30.06.201</w:t>
            </w:r>
            <w:r w:rsidR="00C105A9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1265" w:type="dxa"/>
          </w:tcPr>
          <w:p w:rsidR="001A1B90" w:rsidRPr="005170B6" w:rsidRDefault="001A1B90" w:rsidP="00C105A9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01.07.201</w:t>
            </w:r>
            <w:r w:rsidR="00C105A9">
              <w:rPr>
                <w:noProof/>
                <w:sz w:val="16"/>
                <w:szCs w:val="16"/>
              </w:rPr>
              <w:t>9 по 31.12.2019</w:t>
            </w:r>
          </w:p>
        </w:tc>
        <w:tc>
          <w:tcPr>
            <w:tcW w:w="1265" w:type="dxa"/>
          </w:tcPr>
          <w:p w:rsidR="001A1B90" w:rsidRPr="005170B6" w:rsidRDefault="00C105A9" w:rsidP="00C105A9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 01.01.2019</w:t>
            </w:r>
            <w:r w:rsidR="001A1B90" w:rsidRPr="005170B6">
              <w:rPr>
                <w:noProof/>
                <w:sz w:val="16"/>
                <w:szCs w:val="16"/>
              </w:rPr>
              <w:t xml:space="preserve"> по 30.06.201</w:t>
            </w: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2032" w:type="dxa"/>
            <w:gridSpan w:val="2"/>
          </w:tcPr>
          <w:p w:rsidR="001A1B90" w:rsidRPr="005170B6" w:rsidRDefault="00C105A9" w:rsidP="00C105A9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С 01.07.2019</w:t>
            </w:r>
            <w:r w:rsidR="001A1B90" w:rsidRPr="005170B6">
              <w:rPr>
                <w:noProof/>
                <w:sz w:val="16"/>
                <w:szCs w:val="16"/>
              </w:rPr>
              <w:t xml:space="preserve"> по 31.12.201</w:t>
            </w:r>
            <w:r>
              <w:rPr>
                <w:noProof/>
                <w:sz w:val="16"/>
                <w:szCs w:val="16"/>
              </w:rPr>
              <w:t>9</w:t>
            </w:r>
          </w:p>
        </w:tc>
      </w:tr>
      <w:tr w:rsidR="001A1B90" w:rsidRPr="005170B6" w:rsidTr="0049209D">
        <w:tc>
          <w:tcPr>
            <w:tcW w:w="617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20"/>
              </w:rPr>
            </w:pPr>
          </w:p>
        </w:tc>
        <w:tc>
          <w:tcPr>
            <w:tcW w:w="2418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2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3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6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7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Население и приравненные к нему, за исключением населения и потребителей, указанных в пунктах 2 и 3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sz w:val="19"/>
                <w:szCs w:val="19"/>
              </w:rPr>
              <w:t>.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1.1</w:t>
            </w:r>
          </w:p>
        </w:tc>
        <w:tc>
          <w:tcPr>
            <w:tcW w:w="2418" w:type="dxa"/>
          </w:tcPr>
          <w:p w:rsidR="00DA3AAA" w:rsidRPr="002F3A8A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DA3AAA" w:rsidRPr="002F3A8A" w:rsidRDefault="00DA3AAA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585" w:type="dxa"/>
            <w:gridSpan w:val="2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6,32</w:t>
            </w:r>
          </w:p>
        </w:tc>
        <w:tc>
          <w:tcPr>
            <w:tcW w:w="1712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1.2</w:t>
            </w:r>
          </w:p>
        </w:tc>
        <w:tc>
          <w:tcPr>
            <w:tcW w:w="9378" w:type="dxa"/>
            <w:gridSpan w:val="8"/>
          </w:tcPr>
          <w:p w:rsidR="00DA3AAA" w:rsidRPr="00A458DD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DA3AAA" w:rsidRPr="002F3A8A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DA3AAA" w:rsidRPr="002F3A8A" w:rsidRDefault="00DA3AAA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3,78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3,85</w:t>
            </w:r>
          </w:p>
        </w:tc>
        <w:tc>
          <w:tcPr>
            <w:tcW w:w="1585" w:type="dxa"/>
            <w:gridSpan w:val="2"/>
          </w:tcPr>
          <w:p w:rsidR="00DA3AAA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7,15</w:t>
            </w:r>
          </w:p>
        </w:tc>
        <w:tc>
          <w:tcPr>
            <w:tcW w:w="1712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7,41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DA3AAA" w:rsidRPr="002F3A8A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DA3AAA" w:rsidRPr="002F3A8A" w:rsidRDefault="00DA3AAA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585" w:type="dxa"/>
            <w:gridSpan w:val="2"/>
          </w:tcPr>
          <w:p w:rsidR="00DA3AAA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1712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1.3.</w:t>
            </w:r>
          </w:p>
        </w:tc>
        <w:tc>
          <w:tcPr>
            <w:tcW w:w="9378" w:type="dxa"/>
            <w:gridSpan w:val="8"/>
          </w:tcPr>
          <w:p w:rsidR="00DA3AAA" w:rsidRPr="00A458DD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DA3AAA" w:rsidRPr="002F3A8A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DA3AAA" w:rsidRPr="002F3A8A" w:rsidRDefault="00DA3AAA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3,82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3,89</w:t>
            </w:r>
          </w:p>
        </w:tc>
        <w:tc>
          <w:tcPr>
            <w:tcW w:w="1585" w:type="dxa"/>
            <w:gridSpan w:val="2"/>
          </w:tcPr>
          <w:p w:rsidR="00DA3AAA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7,46</w:t>
            </w:r>
          </w:p>
        </w:tc>
        <w:tc>
          <w:tcPr>
            <w:tcW w:w="1712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7,74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DA3AAA" w:rsidRPr="002F3A8A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DA3AAA" w:rsidRPr="002F3A8A" w:rsidRDefault="00DA3AAA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585" w:type="dxa"/>
            <w:gridSpan w:val="2"/>
          </w:tcPr>
          <w:p w:rsidR="00DA3AAA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6,22</w:t>
            </w:r>
          </w:p>
        </w:tc>
        <w:tc>
          <w:tcPr>
            <w:tcW w:w="1712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DA3AAA" w:rsidRPr="002F3A8A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DA3AAA" w:rsidRPr="002F3A8A" w:rsidRDefault="00DA3AAA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585" w:type="dxa"/>
            <w:gridSpan w:val="2"/>
          </w:tcPr>
          <w:p w:rsidR="00DA3AAA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1712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lastRenderedPageBreak/>
              <w:t>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2.1</w:t>
            </w: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4,48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4,65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2.2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A458DD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5,15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5,34</w:t>
            </w:r>
          </w:p>
        </w:tc>
      </w:tr>
      <w:tr w:rsidR="00507AC3" w:rsidRPr="005170B6" w:rsidTr="0049209D">
        <w:trPr>
          <w:trHeight w:val="262"/>
        </w:trPr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2,79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2.3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A458DD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5,38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5,58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4,48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4,65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3.1</w:t>
            </w: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4,48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4,65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3.2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A458DD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5,15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5,34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2,79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3.3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A458DD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5,38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5,58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4,48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4,65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2F3A8A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color w:val="000000"/>
                <w:sz w:val="18"/>
                <w:szCs w:val="18"/>
              </w:rPr>
            </w:pPr>
            <w:r w:rsidRPr="00A458DD">
              <w:rPr>
                <w:color w:val="000000"/>
                <w:sz w:val="18"/>
                <w:szCs w:val="18"/>
              </w:rPr>
              <w:t>2,79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Потребители, приравненные к населению (тарифы указываются с учетом НДС)</w:t>
            </w:r>
          </w:p>
        </w:tc>
      </w:tr>
      <w:tr w:rsidR="001A1B90" w:rsidRPr="005170B6" w:rsidTr="0049209D">
        <w:trPr>
          <w:trHeight w:val="1383"/>
        </w:trPr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  <w:lang w:val="en-US"/>
              </w:rPr>
              <w:t>4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.1.1</w:t>
            </w:r>
          </w:p>
        </w:tc>
        <w:tc>
          <w:tcPr>
            <w:tcW w:w="2473" w:type="dxa"/>
            <w:gridSpan w:val="2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049" w:type="dxa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6,32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4.1.2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7,15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7,41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4.1.3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3,89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7,46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7,74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6,22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Гарантирующие поставщики, энергосбытовые, энергоснабжающие организации, приобретающие электрическую энергию (мощность) в целях дальнейшей продажи </w:t>
            </w: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4.2.1</w:t>
            </w: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6,32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507AC3" w:rsidRPr="005170B6" w:rsidTr="0049209D">
        <w:trPr>
          <w:trHeight w:val="319"/>
        </w:trPr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4.2.2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7,15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7,41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4.2.3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3,89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7,46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7,74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6,22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Содержащиеся за счет прихожан религиозные организации.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4.3.1</w:t>
            </w: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6,32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4.3.2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7,15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7,41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4.3.3</w:t>
            </w:r>
          </w:p>
        </w:tc>
        <w:tc>
          <w:tcPr>
            <w:tcW w:w="9378" w:type="dxa"/>
            <w:gridSpan w:val="8"/>
          </w:tcPr>
          <w:p w:rsidR="00507AC3" w:rsidRPr="00A458DD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3,82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3,89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7,46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7,74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3,64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3,71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6,22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5632DE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5632DE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1,85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1,88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4.4.1</w:t>
            </w:r>
          </w:p>
        </w:tc>
        <w:tc>
          <w:tcPr>
            <w:tcW w:w="2418" w:type="dxa"/>
          </w:tcPr>
          <w:p w:rsidR="00DA3AAA" w:rsidRPr="002F3A8A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DA3AAA" w:rsidRPr="002F3A8A" w:rsidRDefault="00DA3AAA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6,32</w:t>
            </w:r>
          </w:p>
        </w:tc>
        <w:tc>
          <w:tcPr>
            <w:tcW w:w="2032" w:type="dxa"/>
            <w:gridSpan w:val="2"/>
          </w:tcPr>
          <w:p w:rsidR="00DA3AAA" w:rsidRPr="00A458DD" w:rsidRDefault="00DA3AAA" w:rsidP="0085121F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4.4.2</w:t>
            </w:r>
          </w:p>
        </w:tc>
        <w:tc>
          <w:tcPr>
            <w:tcW w:w="9378" w:type="dxa"/>
            <w:gridSpan w:val="8"/>
          </w:tcPr>
          <w:p w:rsidR="00DA3AAA" w:rsidRPr="00A458DD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7,15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7,41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  <w:tr w:rsidR="00DA3AAA" w:rsidRPr="005170B6" w:rsidTr="0049209D">
        <w:tc>
          <w:tcPr>
            <w:tcW w:w="617" w:type="dxa"/>
          </w:tcPr>
          <w:p w:rsidR="00DA3AAA" w:rsidRPr="005170B6" w:rsidRDefault="00DA3AAA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4.4.3</w:t>
            </w:r>
          </w:p>
        </w:tc>
        <w:tc>
          <w:tcPr>
            <w:tcW w:w="9378" w:type="dxa"/>
            <w:gridSpan w:val="8"/>
          </w:tcPr>
          <w:p w:rsidR="00DA3AAA" w:rsidRPr="00A458DD" w:rsidRDefault="00DA3AAA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A458DD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="006C4400" w:rsidRPr="00AA0657">
              <w:rPr>
                <w:noProof/>
                <w:sz w:val="20"/>
                <w:vertAlign w:val="superscript"/>
              </w:rPr>
              <w:t>1</w:t>
            </w:r>
            <w:bookmarkStart w:id="4" w:name="_GoBack"/>
            <w:bookmarkEnd w:id="4"/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7,46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7,74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6,22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6,45</w:t>
            </w:r>
          </w:p>
        </w:tc>
      </w:tr>
      <w:tr w:rsidR="00507AC3" w:rsidRPr="005170B6" w:rsidTr="0049209D">
        <w:tc>
          <w:tcPr>
            <w:tcW w:w="617" w:type="dxa"/>
          </w:tcPr>
          <w:p w:rsidR="00507AC3" w:rsidRPr="005170B6" w:rsidRDefault="00507AC3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507AC3" w:rsidRPr="002F3A8A" w:rsidRDefault="00507AC3" w:rsidP="0085121F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507AC3" w:rsidRPr="002F3A8A" w:rsidRDefault="00507AC3" w:rsidP="0085121F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2F3A8A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294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851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3,73</w:t>
            </w:r>
          </w:p>
        </w:tc>
        <w:tc>
          <w:tcPr>
            <w:tcW w:w="2032" w:type="dxa"/>
            <w:gridSpan w:val="2"/>
          </w:tcPr>
          <w:p w:rsidR="00507AC3" w:rsidRPr="00A458DD" w:rsidRDefault="00507AC3" w:rsidP="005632DE">
            <w:pPr>
              <w:jc w:val="center"/>
              <w:rPr>
                <w:sz w:val="18"/>
                <w:szCs w:val="18"/>
              </w:rPr>
            </w:pPr>
            <w:r w:rsidRPr="00A458DD">
              <w:rPr>
                <w:sz w:val="18"/>
                <w:szCs w:val="18"/>
              </w:rPr>
              <w:t>3,87</w:t>
            </w:r>
          </w:p>
        </w:tc>
      </w:tr>
    </w:tbl>
    <w:p w:rsidR="00C9510D" w:rsidRPr="00B55DB7" w:rsidRDefault="00C9510D" w:rsidP="00C9510D">
      <w:pPr>
        <w:pStyle w:val="a9"/>
        <w:spacing w:line="276" w:lineRule="auto"/>
        <w:rPr>
          <w:noProof/>
          <w:color w:val="000000" w:themeColor="text1"/>
        </w:rPr>
      </w:pPr>
      <w:r w:rsidRPr="00B55DB7">
        <w:rPr>
          <w:noProof/>
          <w:color w:val="000000" w:themeColor="text1"/>
        </w:rPr>
        <w:t xml:space="preserve">Примечания: </w:t>
      </w:r>
    </w:p>
    <w:p w:rsidR="00C9510D" w:rsidRPr="00B55DB7" w:rsidRDefault="00C9510D" w:rsidP="00C9510D">
      <w:pPr>
        <w:pStyle w:val="a9"/>
        <w:spacing w:line="276" w:lineRule="auto"/>
        <w:ind w:firstLine="720"/>
        <w:rPr>
          <w:noProof/>
          <w:color w:val="000000" w:themeColor="text1"/>
        </w:rPr>
      </w:pPr>
      <w:r w:rsidRPr="00B55DB7">
        <w:rPr>
          <w:noProof/>
          <w:color w:val="000000" w:themeColor="text1"/>
          <w:vertAlign w:val="superscript"/>
        </w:rPr>
        <w:t>1</w:t>
      </w:r>
      <w:r w:rsidRPr="00B55DB7">
        <w:rPr>
          <w:noProof/>
          <w:color w:val="000000" w:themeColor="text1"/>
        </w:rPr>
        <w:t xml:space="preserve"> Интервалы тарифных зон суток (по месяцам календарного года) утверждаются Федеральной антимонопольной службой.</w:t>
      </w:r>
    </w:p>
    <w:p w:rsidR="00C9510D" w:rsidRPr="00B55DB7" w:rsidRDefault="00C9510D" w:rsidP="00C9510D">
      <w:pPr>
        <w:pStyle w:val="a9"/>
        <w:spacing w:line="276" w:lineRule="auto"/>
        <w:ind w:firstLine="720"/>
      </w:pPr>
      <w:r w:rsidRPr="00B55DB7">
        <w:rPr>
          <w:noProof/>
          <w:color w:val="000000" w:themeColor="text1"/>
          <w:vertAlign w:val="superscript"/>
        </w:rPr>
        <w:t>2</w:t>
      </w:r>
      <w:r w:rsidRPr="00B55DB7">
        <w:rPr>
          <w:noProof/>
          <w:color w:val="000000" w:themeColor="text1"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</w:t>
      </w:r>
      <w:r w:rsidRPr="00B55DB7">
        <w:rPr>
          <w:noProof/>
        </w:rPr>
        <w:t>коммерческой (п</w:t>
      </w:r>
      <w:r>
        <w:rPr>
          <w:noProof/>
        </w:rPr>
        <w:t>рофессиональной) деятельности.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lastRenderedPageBreak/>
        <w:t>ПРИЛОЖЕНИЕ 2</w:t>
      </w:r>
    </w:p>
    <w:p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:rsidR="00C9510D" w:rsidRPr="00C105A9" w:rsidRDefault="00C105A9" w:rsidP="00C105A9">
      <w:pPr>
        <w:tabs>
          <w:tab w:val="left" w:pos="1897"/>
        </w:tabs>
        <w:ind w:left="4678"/>
        <w:jc w:val="center"/>
      </w:pPr>
      <w:r>
        <w:t>от 18</w:t>
      </w:r>
      <w:r w:rsidR="00C9510D">
        <w:t xml:space="preserve"> декабря 201</w:t>
      </w:r>
      <w:r>
        <w:t>8</w:t>
      </w:r>
      <w:r w:rsidR="00C9510D">
        <w:t xml:space="preserve"> г</w:t>
      </w:r>
      <w:r>
        <w:t>.</w:t>
      </w:r>
      <w:r w:rsidR="00C9510D">
        <w:t xml:space="preserve"> № </w:t>
      </w:r>
      <w:r w:rsidR="0026700B">
        <w:t>53/1</w:t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45BAD">
        <w:rPr>
          <w:b/>
          <w:szCs w:val="28"/>
        </w:rPr>
        <w:t>Объемы потребления электрической энергии (мощности), используемые расчете цен (тарифов) на электрическую энергию для населения и приравненных к нему категорий потребителей Нижегородской области на 201</w:t>
      </w:r>
      <w:r w:rsidR="00C105A9">
        <w:rPr>
          <w:b/>
          <w:szCs w:val="28"/>
        </w:rPr>
        <w:t>9</w:t>
      </w:r>
      <w:r w:rsidRPr="00345BAD">
        <w:rPr>
          <w:b/>
          <w:szCs w:val="28"/>
        </w:rPr>
        <w:t xml:space="preserve"> год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3746"/>
        <w:gridCol w:w="1297"/>
        <w:gridCol w:w="1504"/>
        <w:gridCol w:w="1370"/>
        <w:gridCol w:w="1429"/>
      </w:tblGrid>
      <w:tr w:rsidR="00C9510D" w:rsidRPr="00054EDF" w:rsidTr="00F819C5">
        <w:trPr>
          <w:trHeight w:val="144"/>
        </w:trPr>
        <w:tc>
          <w:tcPr>
            <w:tcW w:w="577" w:type="dxa"/>
            <w:vMerge w:val="restart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746" w:type="dxa"/>
            <w:vMerge w:val="restart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600" w:type="dxa"/>
            <w:gridSpan w:val="4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Плановый объем полезного отпуска электрической энергии, млн кВт. ч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3746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gridSpan w:val="2"/>
          </w:tcPr>
          <w:p w:rsidR="00C9510D" w:rsidRPr="0061634C" w:rsidRDefault="00C9510D" w:rsidP="00C10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01.01.201</w:t>
            </w:r>
            <w:r w:rsidR="00C105A9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по 30.06.201</w:t>
            </w:r>
            <w:r w:rsidR="00C105A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99" w:type="dxa"/>
            <w:gridSpan w:val="2"/>
          </w:tcPr>
          <w:p w:rsidR="00C9510D" w:rsidRPr="0061634C" w:rsidRDefault="00C9510D" w:rsidP="00C10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01.07.201</w:t>
            </w:r>
            <w:r w:rsidR="00C105A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по 31.12.201</w:t>
            </w:r>
            <w:r w:rsidR="00C105A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3746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504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370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429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</w:tr>
      <w:tr w:rsidR="00DA3AAA" w:rsidRPr="00054EDF" w:rsidTr="00DE6015">
        <w:trPr>
          <w:trHeight w:val="144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6" w:type="dxa"/>
          </w:tcPr>
          <w:p w:rsidR="00DA3AAA" w:rsidRPr="00B55DB7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и приравненные к нему, за исключением населения и потребителей, </w:t>
            </w:r>
            <w:r w:rsidRPr="00B55DB7">
              <w:rPr>
                <w:rFonts w:ascii="Times New Roman" w:hAnsi="Times New Roman" w:cs="Times New Roman"/>
                <w:sz w:val="16"/>
                <w:szCs w:val="16"/>
              </w:rPr>
              <w:t xml:space="preserve">указанных в </w:t>
            </w:r>
            <w:hyperlink w:anchor="P460" w:history="1">
              <w:r w:rsidRPr="00B55DB7">
                <w:rPr>
                  <w:rFonts w:ascii="Times New Roman" w:hAnsi="Times New Roman" w:cs="Times New Roman"/>
                  <w:sz w:val="16"/>
                  <w:szCs w:val="16"/>
                </w:rPr>
                <w:t>пунктах 2</w:t>
              </w:r>
            </w:hyperlink>
            <w:r w:rsidRPr="00B55DB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w:anchor="P468" w:history="1">
              <w:r w:rsidRPr="00B55DB7"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 w:rsidRPr="00B55DB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5DB7">
              <w:rPr>
                <w:rFonts w:ascii="Times New Roman" w:hAnsi="Times New Roman" w:cs="Times New Roman"/>
                <w:sz w:val="16"/>
                <w:szCs w:val="16"/>
              </w:rPr>
              <w:t>исполнители коммунальных услуг (товарищества собственников жилья, жилищно</w:t>
            </w: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689,036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230,903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685,106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224,400</w:t>
            </w:r>
          </w:p>
        </w:tc>
      </w:tr>
      <w:tr w:rsidR="00DA3AAA" w:rsidRPr="00054EDF" w:rsidTr="00DE6015">
        <w:trPr>
          <w:trHeight w:val="144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нему:</w:t>
            </w:r>
          </w:p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</w:t>
            </w:r>
            <w:r w:rsidRPr="001C56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lastRenderedPageBreak/>
              <w:t>122,310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54,246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116,381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53,818</w:t>
            </w:r>
          </w:p>
        </w:tc>
      </w:tr>
      <w:tr w:rsidR="00DA3AAA" w:rsidRPr="00054EDF" w:rsidTr="00DE6015">
        <w:trPr>
          <w:trHeight w:val="6827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Население, проживающее в сельских населенных пунктах, и приравненные к нему:</w:t>
            </w:r>
          </w:p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169,189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122,677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169,696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125,143</w:t>
            </w:r>
          </w:p>
        </w:tc>
      </w:tr>
      <w:tr w:rsidR="00DA3AAA" w:rsidRPr="00054EDF" w:rsidTr="00DE6015">
        <w:trPr>
          <w:trHeight w:val="228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35,808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21,238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35,035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19,815</w:t>
            </w:r>
          </w:p>
        </w:tc>
      </w:tr>
      <w:tr w:rsidR="00DA3AAA" w:rsidRPr="00054EDF" w:rsidTr="00DE6015">
        <w:trPr>
          <w:trHeight w:val="1302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28,994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4,937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28,540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4,710</w:t>
            </w:r>
          </w:p>
        </w:tc>
      </w:tr>
      <w:tr w:rsidR="00DA3AAA" w:rsidRPr="00054EDF" w:rsidTr="00DE6015">
        <w:trPr>
          <w:trHeight w:val="1108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0,808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6,662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0,778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6,320</w:t>
            </w:r>
          </w:p>
        </w:tc>
      </w:tr>
      <w:tr w:rsidR="00DA3AAA" w:rsidRPr="00054EDF" w:rsidTr="00DE6015">
        <w:trPr>
          <w:trHeight w:val="370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Содержащиеся за счет прихожан религиозные организации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6,006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1,686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5,718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1,577</w:t>
            </w:r>
          </w:p>
        </w:tc>
      </w:tr>
      <w:tr w:rsidR="00DA3AAA" w:rsidRPr="00054EDF" w:rsidTr="00DE6015">
        <w:trPr>
          <w:trHeight w:val="2217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0,000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0,000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0,000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0,000</w:t>
            </w:r>
          </w:p>
        </w:tc>
      </w:tr>
      <w:tr w:rsidR="00DA3AAA" w:rsidRPr="00054EDF" w:rsidTr="00DE6015">
        <w:trPr>
          <w:trHeight w:val="2024"/>
        </w:trPr>
        <w:tc>
          <w:tcPr>
            <w:tcW w:w="577" w:type="dxa"/>
          </w:tcPr>
          <w:p w:rsidR="00DA3AAA" w:rsidRPr="00054EDF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746" w:type="dxa"/>
          </w:tcPr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DA3AAA" w:rsidRPr="001C56D4" w:rsidRDefault="00DA3AAA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297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0,000</w:t>
            </w:r>
          </w:p>
        </w:tc>
        <w:tc>
          <w:tcPr>
            <w:tcW w:w="1504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7,953</w:t>
            </w:r>
          </w:p>
        </w:tc>
        <w:tc>
          <w:tcPr>
            <w:tcW w:w="1370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0,000</w:t>
            </w:r>
          </w:p>
        </w:tc>
        <w:tc>
          <w:tcPr>
            <w:tcW w:w="1429" w:type="dxa"/>
            <w:vAlign w:val="center"/>
          </w:tcPr>
          <w:p w:rsidR="00DA3AAA" w:rsidRPr="00DF09D3" w:rsidRDefault="00DA3AAA" w:rsidP="0085121F">
            <w:pPr>
              <w:jc w:val="center"/>
              <w:rPr>
                <w:color w:val="000000"/>
                <w:sz w:val="20"/>
              </w:rPr>
            </w:pPr>
            <w:r w:rsidRPr="00DF09D3">
              <w:rPr>
                <w:color w:val="000000"/>
                <w:sz w:val="20"/>
              </w:rPr>
              <w:t>7,207</w:t>
            </w:r>
          </w:p>
        </w:tc>
      </w:tr>
    </w:tbl>
    <w:p w:rsidR="00C9510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rPr>
          <w:szCs w:val="28"/>
        </w:rPr>
        <w:lastRenderedPageBreak/>
        <w:tab/>
      </w:r>
      <w:r>
        <w:t>ПРИЛОЖЕНИЕ 3</w:t>
      </w:r>
    </w:p>
    <w:p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:rsidR="00C9510D" w:rsidRPr="00C105A9" w:rsidRDefault="00C9510D" w:rsidP="00C105A9">
      <w:pPr>
        <w:tabs>
          <w:tab w:val="left" w:pos="1897"/>
        </w:tabs>
        <w:ind w:left="4678"/>
        <w:jc w:val="center"/>
      </w:pPr>
      <w:r>
        <w:t xml:space="preserve">от </w:t>
      </w:r>
      <w:r w:rsidR="00C105A9">
        <w:t>18</w:t>
      </w:r>
      <w:r>
        <w:t xml:space="preserve"> декабря 201</w:t>
      </w:r>
      <w:r w:rsidR="00C105A9">
        <w:t>8</w:t>
      </w:r>
      <w:r>
        <w:t xml:space="preserve"> г</w:t>
      </w:r>
      <w:r w:rsidR="00C105A9">
        <w:t>.</w:t>
      </w:r>
      <w:r>
        <w:t xml:space="preserve"> № </w:t>
      </w:r>
      <w:r w:rsidR="0026700B">
        <w:t>53/1</w:t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105A9">
      <w:pPr>
        <w:pStyle w:val="a9"/>
        <w:jc w:val="center"/>
        <w:rPr>
          <w:b/>
        </w:rPr>
      </w:pPr>
      <w:r w:rsidRPr="006327EB">
        <w:rPr>
          <w:b/>
        </w:rPr>
        <w:t>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201</w:t>
      </w:r>
      <w:r w:rsidR="00C105A9">
        <w:rPr>
          <w:b/>
        </w:rPr>
        <w:t>9</w:t>
      </w:r>
      <w:r w:rsidRPr="006327EB">
        <w:rPr>
          <w:b/>
        </w:rPr>
        <w:t xml:space="preserve"> год</w:t>
      </w:r>
    </w:p>
    <w:p w:rsidR="001A1B90" w:rsidRDefault="001A1B90" w:rsidP="00C9510D">
      <w:pPr>
        <w:pStyle w:val="a9"/>
        <w:spacing w:line="276" w:lineRule="auto"/>
        <w:jc w:val="center"/>
        <w:rPr>
          <w:b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4122"/>
        <w:gridCol w:w="1417"/>
        <w:gridCol w:w="1276"/>
        <w:gridCol w:w="1276"/>
        <w:gridCol w:w="1276"/>
      </w:tblGrid>
      <w:tr w:rsidR="001A1B90" w:rsidRPr="005170B6" w:rsidTr="0049209D">
        <w:trPr>
          <w:trHeight w:val="320"/>
        </w:trPr>
        <w:tc>
          <w:tcPr>
            <w:tcW w:w="556" w:type="dxa"/>
            <w:vMerge w:val="restart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№ п/п</w:t>
            </w:r>
          </w:p>
        </w:tc>
        <w:tc>
          <w:tcPr>
            <w:tcW w:w="4122" w:type="dxa"/>
            <w:vMerge w:val="restart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245" w:type="dxa"/>
            <w:gridSpan w:val="4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Примененный понижающий коэффициент при установлении цен (тарифов) на электрическую энергию (мощность)</w:t>
            </w:r>
            <w:r w:rsidRPr="00AA0657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1A1B90" w:rsidRPr="005170B6" w:rsidRDefault="001A1B90" w:rsidP="00C105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 01.01.201</w:t>
            </w:r>
            <w:r w:rsidR="00C105A9">
              <w:rPr>
                <w:sz w:val="16"/>
                <w:szCs w:val="16"/>
              </w:rPr>
              <w:t>9</w:t>
            </w:r>
            <w:r w:rsidRPr="005170B6">
              <w:rPr>
                <w:sz w:val="16"/>
                <w:szCs w:val="16"/>
              </w:rPr>
              <w:t xml:space="preserve"> по 30.06.201</w:t>
            </w:r>
            <w:r w:rsidR="00C105A9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  <w:gridSpan w:val="2"/>
          </w:tcPr>
          <w:p w:rsidR="001A1B90" w:rsidRPr="005170B6" w:rsidRDefault="001A1B90" w:rsidP="00C105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 01.07.201</w:t>
            </w:r>
            <w:r w:rsidR="00C105A9">
              <w:rPr>
                <w:sz w:val="16"/>
                <w:szCs w:val="16"/>
              </w:rPr>
              <w:t xml:space="preserve">9 </w:t>
            </w:r>
            <w:r w:rsidRPr="005170B6">
              <w:rPr>
                <w:sz w:val="16"/>
                <w:szCs w:val="16"/>
              </w:rPr>
              <w:t>по 31.12.201</w:t>
            </w:r>
            <w:r w:rsidR="00C105A9">
              <w:rPr>
                <w:sz w:val="16"/>
                <w:szCs w:val="16"/>
              </w:rPr>
              <w:t>9</w:t>
            </w:r>
          </w:p>
        </w:tc>
      </w:tr>
      <w:tr w:rsidR="001A1B90" w:rsidRPr="005170B6" w:rsidTr="0049209D">
        <w:tc>
          <w:tcPr>
            <w:tcW w:w="556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Сверх социальной нормы потребления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нему: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</w:t>
            </w:r>
            <w:r>
              <w:rPr>
                <w:sz w:val="16"/>
                <w:szCs w:val="16"/>
              </w:rPr>
              <w:t>е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1A1B90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0,721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DA3A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  <w:r w:rsidR="003945B3">
              <w:rPr>
                <w:sz w:val="20"/>
              </w:rPr>
              <w:t>09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DA3A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DA3AA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A3AAA" w:rsidRPr="005170B6" w:rsidTr="0049209D">
        <w:tc>
          <w:tcPr>
            <w:tcW w:w="556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2</w:t>
            </w:r>
          </w:p>
        </w:tc>
        <w:tc>
          <w:tcPr>
            <w:tcW w:w="4122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Население, проживающее в сельских населенных пунктах, и приравненные к нему: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исполнители коммунальных услуг (товарищества </w:t>
            </w:r>
            <w:r w:rsidRPr="005170B6">
              <w:rPr>
                <w:sz w:val="16"/>
                <w:szCs w:val="16"/>
              </w:rPr>
              <w:lastRenderedPageBreak/>
              <w:t>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0,721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3945B3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0,709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0,721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0,721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3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3.1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1A1B90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DA3AAA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A3AAA" w:rsidRPr="005170B6" w:rsidTr="0049209D">
        <w:tc>
          <w:tcPr>
            <w:tcW w:w="556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3.2</w:t>
            </w:r>
          </w:p>
        </w:tc>
        <w:tc>
          <w:tcPr>
            <w:tcW w:w="4122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DA3AAA" w:rsidRPr="005170B6" w:rsidRDefault="00DA3AAA" w:rsidP="0049209D">
            <w:pPr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  <w:r w:rsidRPr="005170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A3AAA" w:rsidRPr="005170B6" w:rsidTr="0049209D">
        <w:tc>
          <w:tcPr>
            <w:tcW w:w="556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3.3</w:t>
            </w:r>
          </w:p>
        </w:tc>
        <w:tc>
          <w:tcPr>
            <w:tcW w:w="4122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Содержащиеся за счет прихожан религиозные организации.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A3AAA" w:rsidRPr="005170B6" w:rsidTr="0049209D">
        <w:tc>
          <w:tcPr>
            <w:tcW w:w="556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3.4</w:t>
            </w:r>
          </w:p>
        </w:tc>
        <w:tc>
          <w:tcPr>
            <w:tcW w:w="4122" w:type="dxa"/>
          </w:tcPr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</w:t>
            </w:r>
            <w:r w:rsidRPr="005170B6">
              <w:rPr>
                <w:sz w:val="16"/>
                <w:szCs w:val="16"/>
              </w:rPr>
              <w:lastRenderedPageBreak/>
              <w:t>целях потребления на коммунально-бытовые нужды и не используемую для осуществления коммерческой деятельности.</w:t>
            </w:r>
          </w:p>
          <w:p w:rsidR="00DA3AAA" w:rsidRPr="005170B6" w:rsidRDefault="00DA3AAA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  <w:r w:rsidRPr="005170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3AAA" w:rsidRPr="005170B6" w:rsidRDefault="00DA3AAA" w:rsidP="008512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C9510D" w:rsidRPr="00B55DB7" w:rsidRDefault="00C9510D" w:rsidP="00C9510D">
      <w:pPr>
        <w:pStyle w:val="a9"/>
        <w:spacing w:line="276" w:lineRule="auto"/>
      </w:pPr>
      <w:r w:rsidRPr="00B55DB7">
        <w:rPr>
          <w:vertAlign w:val="superscript"/>
        </w:rPr>
        <w:lastRenderedPageBreak/>
        <w:t>1</w:t>
      </w:r>
      <w:r w:rsidRPr="00B55DB7">
        <w:t xml:space="preserve"> Данная таблица является неотъемлемой частью таблицы Приложения 1 к настоящему решению.</w:t>
      </w:r>
    </w:p>
    <w:p w:rsidR="00C9510D" w:rsidRPr="00B55DB7" w:rsidRDefault="00C9510D" w:rsidP="00C9510D">
      <w:pPr>
        <w:pStyle w:val="a9"/>
        <w:spacing w:line="276" w:lineRule="auto"/>
      </w:pPr>
      <w:r w:rsidRPr="00B55DB7">
        <w:rPr>
          <w:vertAlign w:val="superscript"/>
        </w:rPr>
        <w:t>2</w:t>
      </w:r>
      <w:r w:rsidRPr="00B55DB7"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C9510D" w:rsidRPr="00C9510D" w:rsidRDefault="00C9510D" w:rsidP="00C9510D">
      <w:pPr>
        <w:tabs>
          <w:tab w:val="left" w:pos="983"/>
        </w:tabs>
        <w:rPr>
          <w:szCs w:val="28"/>
        </w:rPr>
      </w:pPr>
    </w:p>
    <w:sectPr w:rsidR="00C9510D" w:rsidRPr="00C9510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B0" w:rsidRDefault="00AD1EB0">
      <w:r>
        <w:separator/>
      </w:r>
    </w:p>
  </w:endnote>
  <w:endnote w:type="continuationSeparator" w:id="0">
    <w:p w:rsidR="00AD1EB0" w:rsidRDefault="00AD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B0" w:rsidRDefault="00AD1EB0">
      <w:r>
        <w:separator/>
      </w:r>
    </w:p>
  </w:footnote>
  <w:footnote w:type="continuationSeparator" w:id="0">
    <w:p w:rsidR="00AD1EB0" w:rsidRDefault="00AD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BF" w:rsidRDefault="00C14D5A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2A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2ABF" w:rsidRDefault="00F02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BF" w:rsidRDefault="00C14D5A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2AB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4400">
      <w:rPr>
        <w:rStyle w:val="a7"/>
        <w:noProof/>
      </w:rPr>
      <w:t>5</w:t>
    </w:r>
    <w:r>
      <w:rPr>
        <w:rStyle w:val="a7"/>
      </w:rPr>
      <w:fldChar w:fldCharType="end"/>
    </w:r>
  </w:p>
  <w:p w:rsidR="00F02ABF" w:rsidRDefault="00F02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BF" w:rsidRDefault="00311B3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ABF" w:rsidRPr="00E52B15" w:rsidRDefault="00F02AB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02ABF" w:rsidRPr="00561114" w:rsidRDefault="00F02AB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F02ABF" w:rsidRPr="00561114" w:rsidRDefault="00F02AB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F02ABF" w:rsidRPr="000F7B5C" w:rsidRDefault="00F02ABF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F02ABF" w:rsidRPr="000F7B5C" w:rsidRDefault="00F02ABF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F02ABF" w:rsidRDefault="00F02ABF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F02ABF" w:rsidRDefault="00F02AB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F02ABF" w:rsidRPr="002B6128" w:rsidRDefault="00F02ABF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F02ABF" w:rsidRDefault="00F02AB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F02ABF" w:rsidRPr="001772E6" w:rsidRDefault="00F02AB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F02ABF" w:rsidRDefault="00F02AB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F02ABF" w:rsidRPr="00E52B15" w:rsidRDefault="00F02AB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02ABF" w:rsidRPr="00561114" w:rsidRDefault="00F02AB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F02ABF" w:rsidRPr="00561114" w:rsidRDefault="00F02AB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F02ABF" w:rsidRPr="000F7B5C" w:rsidRDefault="00F02ABF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F02ABF" w:rsidRPr="000F7B5C" w:rsidRDefault="00F02ABF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F02ABF" w:rsidRDefault="00F02ABF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F02ABF" w:rsidRDefault="00F02AB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F02ABF" w:rsidRPr="002B6128" w:rsidRDefault="00F02ABF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F02ABF" w:rsidRDefault="00F02AB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F02ABF" w:rsidRPr="001772E6" w:rsidRDefault="00F02AB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F02ABF" w:rsidRDefault="00F02AB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5FD7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B90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1FF6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34D"/>
    <w:rsid w:val="00236863"/>
    <w:rsid w:val="00237155"/>
    <w:rsid w:val="00237404"/>
    <w:rsid w:val="00241D87"/>
    <w:rsid w:val="002426D1"/>
    <w:rsid w:val="002434D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849"/>
    <w:rsid w:val="00262CFC"/>
    <w:rsid w:val="0026323E"/>
    <w:rsid w:val="00263858"/>
    <w:rsid w:val="00263872"/>
    <w:rsid w:val="00264905"/>
    <w:rsid w:val="00264A08"/>
    <w:rsid w:val="0026700B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B3A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94"/>
    <w:rsid w:val="00387C87"/>
    <w:rsid w:val="0039046B"/>
    <w:rsid w:val="00390BC0"/>
    <w:rsid w:val="00390D72"/>
    <w:rsid w:val="0039114C"/>
    <w:rsid w:val="00391946"/>
    <w:rsid w:val="003926A1"/>
    <w:rsid w:val="00392C8F"/>
    <w:rsid w:val="003935A7"/>
    <w:rsid w:val="003940B7"/>
    <w:rsid w:val="003945B3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C3D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9C4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07AC3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319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BD2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611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7AA"/>
    <w:rsid w:val="006C0C03"/>
    <w:rsid w:val="006C0DC6"/>
    <w:rsid w:val="006C1993"/>
    <w:rsid w:val="006C274E"/>
    <w:rsid w:val="006C3DEF"/>
    <w:rsid w:val="006C4400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4ED"/>
    <w:rsid w:val="00700634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6B7D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1FA3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152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3B69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509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450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4F9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37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EB0"/>
    <w:rsid w:val="00AD1F3A"/>
    <w:rsid w:val="00AD2B55"/>
    <w:rsid w:val="00AD3078"/>
    <w:rsid w:val="00AD3451"/>
    <w:rsid w:val="00AD3877"/>
    <w:rsid w:val="00AD3DDC"/>
    <w:rsid w:val="00AD45DB"/>
    <w:rsid w:val="00AD4748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C0F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B7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05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6B0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5A9"/>
    <w:rsid w:val="00C10CB7"/>
    <w:rsid w:val="00C11788"/>
    <w:rsid w:val="00C11B53"/>
    <w:rsid w:val="00C1210D"/>
    <w:rsid w:val="00C1223F"/>
    <w:rsid w:val="00C12261"/>
    <w:rsid w:val="00C12438"/>
    <w:rsid w:val="00C142C2"/>
    <w:rsid w:val="00C14D5A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10D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44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6F6"/>
    <w:rsid w:val="00DA3AA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9F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8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3CC"/>
    <w:rsid w:val="00EB798D"/>
    <w:rsid w:val="00EC07D9"/>
    <w:rsid w:val="00EC1288"/>
    <w:rsid w:val="00EC2578"/>
    <w:rsid w:val="00EC27E0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ABF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8E4"/>
    <w:rsid w:val="00F55CA6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DC3490A1FDA079BCDB477E2991D092990E2A9D912A9C24F3F1F89695zCP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DC3490A1FDA079BCDB477E2991D092990F2A96942A9C24F3F1F89695C6DD236F4C50315B054036z5PF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13</TotalTime>
  <Pages>11</Pages>
  <Words>3356</Words>
  <Characters>25506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Владмировна</cp:lastModifiedBy>
  <cp:revision>6</cp:revision>
  <cp:lastPrinted>2018-12-11T11:16:00Z</cp:lastPrinted>
  <dcterms:created xsi:type="dcterms:W3CDTF">2018-12-10T05:34:00Z</dcterms:created>
  <dcterms:modified xsi:type="dcterms:W3CDTF">2018-12-20T07:11:00Z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